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300"/>
        <w:jc w:val="center"/>
      </w:pPr>
      <w:r>
        <w:rPr>
          <w:rFonts w:ascii="Arial" w:cs="Arial" w:eastAsia="Arial" w:hAnsi="Arial"/>
          <w:b/>
          <w:bCs/>
          <w:color w:val="1F3864"/>
          <w:sz w:val="36"/>
          <w:szCs w:val="36"/>
        </w:rPr>
        <w:t xml:space="preserve">شركة البينات للقضايا والاستشارات الإدارية: شريككم الموثوق في مواجهة الجهات الحكومية</w:t>
      </w:r>
    </w:p>
    <w:p>
      <w:pPr>
        <w:pBdr>
          <w:bottom w:val="single" w:color="BFBFBF" w:sz="6" w:space="4"/>
        </w:pBdr>
        <w:spacing w:after="300"/>
      </w:pPr>
    </w:p>
    <w:p>
      <w:pPr>
        <w:bidi/>
        <w:spacing w:after="200" w:line="300"/>
        <w:jc w:val="right"/>
      </w:pPr>
      <w:r>
        <w:rPr>
          <w:rFonts w:ascii="Arial" w:cs="Arial" w:eastAsia="Arial" w:hAnsi="Arial"/>
          <w:b w:val="false"/>
          <w:bCs w:val="false"/>
          <w:sz w:val="22"/>
          <w:szCs w:val="22"/>
        </w:rPr>
        <w:t xml:space="preserve">تُعد القضايا الإدارية من أكثر أنواع القضايا تعقيدًا وحساسية، لأنها تتعلق مباشرة بالتعامل مع الجهات الحكومية وقراراتها، وتتطلب معرفة دقيقة بالأنظمة واللوائح الإدارية وآليات التقاضي أمام الجهات المختصة. من هذا المنطلق، تقدم شركة البينات للقضايا والاستشارات الإدارية خدماتها المتخصصة للأفراد والمنشآت الذين يواجهون نزاعات أو يحتاجون إلى استشارات تتعلق بقراراتٍ أو إجراءاتٍ حكومية، لضمان حقوقهم والدفاع عنها بكل كفاءة ومهنية.</w:t>
      </w:r>
    </w:p>
    <w:p>
      <w:pPr>
        <w:bidi/>
        <w:spacing w:after="200" w:line="300"/>
        <w:jc w:val="right"/>
      </w:pPr>
      <w:r>
        <w:rPr>
          <w:rFonts w:ascii="Arial" w:cs="Arial" w:eastAsia="Arial" w:hAnsi="Arial"/>
          <w:b w:val="false"/>
          <w:bCs w:val="false"/>
          <w:sz w:val="22"/>
          <w:szCs w:val="22"/>
        </w:rPr>
        <w:t xml:space="preserve">في هذا المقال، نستعرض أبرز الخدمات التي نقدمها في هذا المجال، وكيف يمكن أن تشكل الحل الأمثل لكل ما يتعلق بالشؤون الإدارية.</w:t>
      </w:r>
    </w:p>
    <w:p>
      <w:pPr>
        <w:pStyle w:val="Heading1"/>
        <w:bidi/>
        <w:spacing w:after="200" w:before="400"/>
        <w:jc w:val="right"/>
      </w:pPr>
      <w:r>
        <w:rPr>
          <w:rFonts w:ascii="Arial" w:cs="Arial" w:eastAsia="Arial" w:hAnsi="Arial"/>
          <w:b/>
          <w:bCs/>
          <w:color w:val="1F3864"/>
          <w:sz w:val="32"/>
          <w:szCs w:val="32"/>
        </w:rPr>
        <w:t xml:space="preserve">1. التمثيل القانوني أمام المحاكم واللجان الإدارية</w:t>
      </w:r>
    </w:p>
    <w:p>
      <w:pPr>
        <w:bidi/>
        <w:spacing w:after="200" w:line="300"/>
        <w:jc w:val="right"/>
      </w:pPr>
      <w:r>
        <w:rPr>
          <w:rFonts w:ascii="Arial" w:cs="Arial" w:eastAsia="Arial" w:hAnsi="Arial"/>
          <w:b w:val="false"/>
          <w:bCs w:val="false"/>
          <w:sz w:val="22"/>
          <w:szCs w:val="22"/>
        </w:rPr>
        <w:t xml:space="preserve">نتولى تمثيل عملائنا أمام الجهات القضائية والإدارية المختصة بكل احترافية ودقة، وتشمل هذه الخدمة:</w:t>
      </w:r>
    </w:p>
    <w:p>
      <w:pPr>
        <w:pStyle w:val="ListParagraph"/>
        <w:numPr>
          <w:ilvl w:val="0"/>
          <w:numId w:val="2"/>
        </w:numPr>
        <w:bidi/>
        <w:spacing w:after="120" w:line="300"/>
        <w:jc w:val="right"/>
      </w:pPr>
      <w:r>
        <w:rPr>
          <w:rFonts w:ascii="Arial" w:cs="Arial" w:eastAsia="Arial" w:hAnsi="Arial"/>
          <w:sz w:val="22"/>
          <w:szCs w:val="22"/>
        </w:rPr>
        <w:t xml:space="preserve">تمثيلاً قانونيًا كاملاً أمام المحاكم الإدارية في جميع درجات التقاضي.</w:t>
      </w:r>
    </w:p>
    <w:p>
      <w:pPr>
        <w:pStyle w:val="ListParagraph"/>
        <w:numPr>
          <w:ilvl w:val="0"/>
          <w:numId w:val="2"/>
        </w:numPr>
        <w:bidi/>
        <w:spacing w:after="120" w:line="300"/>
        <w:jc w:val="right"/>
      </w:pPr>
      <w:r>
        <w:rPr>
          <w:rFonts w:ascii="Arial" w:cs="Arial" w:eastAsia="Arial" w:hAnsi="Arial"/>
          <w:sz w:val="22"/>
          <w:szCs w:val="22"/>
        </w:rPr>
        <w:t xml:space="preserve">إعداد لوائح الدعوى والمذكرات والدفوع اللازمة لكل قضية.</w:t>
      </w:r>
    </w:p>
    <w:p>
      <w:pPr>
        <w:pStyle w:val="ListParagraph"/>
        <w:numPr>
          <w:ilvl w:val="0"/>
          <w:numId w:val="2"/>
        </w:numPr>
        <w:bidi/>
        <w:spacing w:after="120" w:line="300"/>
        <w:jc w:val="right"/>
      </w:pPr>
      <w:r>
        <w:rPr>
          <w:rFonts w:ascii="Arial" w:cs="Arial" w:eastAsia="Arial" w:hAnsi="Arial"/>
          <w:sz w:val="22"/>
          <w:szCs w:val="22"/>
        </w:rPr>
        <w:t xml:space="preserve">الطعن في القرارات الإدارية غير السليمة أمام الجهات المختصة.</w:t>
      </w:r>
    </w:p>
    <w:p>
      <w:pPr>
        <w:pStyle w:val="ListParagraph"/>
        <w:numPr>
          <w:ilvl w:val="0"/>
          <w:numId w:val="2"/>
        </w:numPr>
        <w:bidi/>
        <w:spacing w:after="120" w:line="300"/>
        <w:jc w:val="right"/>
      </w:pPr>
      <w:r>
        <w:rPr>
          <w:rFonts w:ascii="Arial" w:cs="Arial" w:eastAsia="Arial" w:hAnsi="Arial"/>
          <w:sz w:val="22"/>
          <w:szCs w:val="22"/>
        </w:rPr>
        <w:t xml:space="preserve">متابعة سير القضية أولًا بأول حتى صدور الحكم وتنفيذه.</w:t>
      </w:r>
    </w:p>
    <w:p>
      <w:pPr>
        <w:bidi/>
        <w:spacing w:after="200" w:line="300"/>
        <w:jc w:val="right"/>
      </w:pPr>
      <w:r>
        <w:rPr>
          <w:rFonts w:ascii="Arial" w:cs="Arial" w:eastAsia="Arial" w:hAnsi="Arial"/>
          <w:b w:val="false"/>
          <w:bCs w:val="false"/>
          <w:sz w:val="22"/>
          <w:szCs w:val="22"/>
        </w:rPr>
        <w:t xml:space="preserve">هذه الخدمة تمنح عملاءنا الثقة والاطمئنان بأن حقوقهم في مواجهة الجهات الحكومية تُدار من قِبل فريق متخصص وذي خبرة عملية واسعة.</w:t>
      </w:r>
    </w:p>
    <w:p>
      <w:pPr>
        <w:pStyle w:val="Heading1"/>
        <w:bidi/>
        <w:spacing w:after="200" w:before="400"/>
        <w:jc w:val="right"/>
      </w:pPr>
      <w:r>
        <w:rPr>
          <w:rFonts w:ascii="Arial" w:cs="Arial" w:eastAsia="Arial" w:hAnsi="Arial"/>
          <w:b/>
          <w:bCs/>
          <w:color w:val="1F3864"/>
          <w:sz w:val="32"/>
          <w:szCs w:val="32"/>
        </w:rPr>
        <w:t xml:space="preserve">2. الاستشارات الإدارية للأفراد والمنشآت</w:t>
      </w:r>
    </w:p>
    <w:p>
      <w:pPr>
        <w:bidi/>
        <w:spacing w:after="200" w:line="300"/>
        <w:jc w:val="right"/>
      </w:pPr>
      <w:r>
        <w:rPr>
          <w:rFonts w:ascii="Arial" w:cs="Arial" w:eastAsia="Arial" w:hAnsi="Arial"/>
          <w:b w:val="false"/>
          <w:bCs w:val="false"/>
          <w:sz w:val="22"/>
          <w:szCs w:val="22"/>
        </w:rPr>
        <w:t xml:space="preserve">نقدم استشارات وقائية تساعد عملاءنا على فهم موقفهم القانوني قبل اتخاذ أي إجراء، وتشمل:</w:t>
      </w:r>
    </w:p>
    <w:p>
      <w:pPr>
        <w:pStyle w:val="ListParagraph"/>
        <w:numPr>
          <w:ilvl w:val="0"/>
          <w:numId w:val="2"/>
        </w:numPr>
        <w:bidi/>
        <w:spacing w:after="120" w:line="300"/>
        <w:jc w:val="right"/>
      </w:pPr>
      <w:r>
        <w:rPr>
          <w:rFonts w:ascii="Arial" w:cs="Arial" w:eastAsia="Arial" w:hAnsi="Arial"/>
          <w:sz w:val="22"/>
          <w:szCs w:val="22"/>
        </w:rPr>
        <w:t xml:space="preserve">تقديم الرأي القانوني حول القرارات والإجراءات الحكومية وسبل التعامل معها.</w:t>
      </w:r>
    </w:p>
    <w:p>
      <w:pPr>
        <w:pStyle w:val="ListParagraph"/>
        <w:numPr>
          <w:ilvl w:val="0"/>
          <w:numId w:val="2"/>
        </w:numPr>
        <w:bidi/>
        <w:spacing w:after="120" w:line="300"/>
        <w:jc w:val="right"/>
      </w:pPr>
      <w:r>
        <w:rPr>
          <w:rFonts w:ascii="Arial" w:cs="Arial" w:eastAsia="Arial" w:hAnsi="Arial"/>
          <w:sz w:val="22"/>
          <w:szCs w:val="22"/>
        </w:rPr>
        <w:t xml:space="preserve">مراجعة الأنظمة واللوائح الإدارية ذات العلاقة بنشاط المنشأة أو حالة العميل.</w:t>
      </w:r>
    </w:p>
    <w:p>
      <w:pPr>
        <w:pStyle w:val="ListParagraph"/>
        <w:numPr>
          <w:ilvl w:val="0"/>
          <w:numId w:val="2"/>
        </w:numPr>
        <w:bidi/>
        <w:spacing w:after="120" w:line="300"/>
        <w:jc w:val="right"/>
      </w:pPr>
      <w:r>
        <w:rPr>
          <w:rFonts w:ascii="Arial" w:cs="Arial" w:eastAsia="Arial" w:hAnsi="Arial"/>
          <w:sz w:val="22"/>
          <w:szCs w:val="22"/>
        </w:rPr>
        <w:t xml:space="preserve">تقديم استشارات متعلقة بالتراخيص، والتصاريح، والمخالفات الإدارية.</w:t>
      </w:r>
    </w:p>
    <w:p>
      <w:pPr>
        <w:pStyle w:val="ListParagraph"/>
        <w:numPr>
          <w:ilvl w:val="0"/>
          <w:numId w:val="2"/>
        </w:numPr>
        <w:bidi/>
        <w:spacing w:after="120" w:line="300"/>
        <w:jc w:val="right"/>
      </w:pPr>
      <w:r>
        <w:rPr>
          <w:rFonts w:ascii="Arial" w:cs="Arial" w:eastAsia="Arial" w:hAnsi="Arial"/>
          <w:sz w:val="22"/>
          <w:szCs w:val="22"/>
        </w:rPr>
        <w:t xml:space="preserve">مواكبة أي تحديثات أو تعديلات على الأنظمة الإدارية وتوضيح أثرها على عملائنا.</w:t>
      </w:r>
    </w:p>
    <w:p>
      <w:pPr>
        <w:bidi/>
        <w:spacing w:after="200" w:line="300"/>
        <w:jc w:val="right"/>
      </w:pPr>
      <w:r>
        <w:rPr>
          <w:rFonts w:ascii="Arial" w:cs="Arial" w:eastAsia="Arial" w:hAnsi="Arial"/>
          <w:b w:val="false"/>
          <w:bCs w:val="false"/>
          <w:sz w:val="22"/>
          <w:szCs w:val="22"/>
        </w:rPr>
        <w:t xml:space="preserve">هذه الاستشارات تساعد الأفراد والمنشآت على اتخاذ قرارات سليمة، وتجنب الوقوع في مخالفات أو نزاعات لاحقة مع الجهات الحكومية.</w:t>
      </w:r>
    </w:p>
    <w:p>
      <w:pPr>
        <w:pStyle w:val="Heading1"/>
        <w:bidi/>
        <w:spacing w:after="200" w:before="400"/>
        <w:jc w:val="right"/>
      </w:pPr>
      <w:r>
        <w:rPr>
          <w:rFonts w:ascii="Arial" w:cs="Arial" w:eastAsia="Arial" w:hAnsi="Arial"/>
          <w:b/>
          <w:bCs/>
          <w:color w:val="1F3864"/>
          <w:sz w:val="32"/>
          <w:szCs w:val="32"/>
        </w:rPr>
        <w:t xml:space="preserve">3. التظلمات والاعتراض على القرارات الإدارية</w:t>
      </w:r>
    </w:p>
    <w:p>
      <w:pPr>
        <w:bidi/>
        <w:spacing w:after="200" w:line="300"/>
        <w:jc w:val="right"/>
      </w:pPr>
      <w:r>
        <w:rPr>
          <w:rFonts w:ascii="Arial" w:cs="Arial" w:eastAsia="Arial" w:hAnsi="Arial"/>
          <w:b w:val="false"/>
          <w:bCs w:val="false"/>
          <w:sz w:val="22"/>
          <w:szCs w:val="22"/>
        </w:rPr>
        <w:t xml:space="preserve">يحق لكل متضرر من قرار إداري أن يعترض عليه وفق الطرق النظامية، ونحن نتولى هذه المهمة بكفاءة عالية من خلال:</w:t>
      </w:r>
    </w:p>
    <w:p>
      <w:pPr>
        <w:pStyle w:val="ListParagraph"/>
        <w:numPr>
          <w:ilvl w:val="0"/>
          <w:numId w:val="2"/>
        </w:numPr>
        <w:bidi/>
        <w:spacing w:after="120" w:line="300"/>
        <w:jc w:val="right"/>
      </w:pPr>
      <w:r>
        <w:rPr>
          <w:rFonts w:ascii="Arial" w:cs="Arial" w:eastAsia="Arial" w:hAnsi="Arial"/>
          <w:sz w:val="22"/>
          <w:szCs w:val="22"/>
        </w:rPr>
        <w:t xml:space="preserve">دراسة القرار الإداري محل الاعتراض وتقييم مدى مشروعيته.</w:t>
      </w:r>
    </w:p>
    <w:p>
      <w:pPr>
        <w:pStyle w:val="ListParagraph"/>
        <w:numPr>
          <w:ilvl w:val="0"/>
          <w:numId w:val="2"/>
        </w:numPr>
        <w:bidi/>
        <w:spacing w:after="120" w:line="300"/>
        <w:jc w:val="right"/>
      </w:pPr>
      <w:r>
        <w:rPr>
          <w:rFonts w:ascii="Arial" w:cs="Arial" w:eastAsia="Arial" w:hAnsi="Arial"/>
          <w:sz w:val="22"/>
          <w:szCs w:val="22"/>
        </w:rPr>
        <w:t xml:space="preserve">إعداد وتقديم التظلمات أمام الجهة مُصدرة القرار أو الجهات المختصة.</w:t>
      </w:r>
    </w:p>
    <w:p>
      <w:pPr>
        <w:pStyle w:val="ListParagraph"/>
        <w:numPr>
          <w:ilvl w:val="0"/>
          <w:numId w:val="2"/>
        </w:numPr>
        <w:bidi/>
        <w:spacing w:after="120" w:line="300"/>
        <w:jc w:val="right"/>
      </w:pPr>
      <w:r>
        <w:rPr>
          <w:rFonts w:ascii="Arial" w:cs="Arial" w:eastAsia="Arial" w:hAnsi="Arial"/>
          <w:sz w:val="22"/>
          <w:szCs w:val="22"/>
        </w:rPr>
        <w:t xml:space="preserve">متابعة التظلم حتى صدور الرد عليه، واتخاذ الإجراءات اللازمة بعد ذلك.</w:t>
      </w:r>
    </w:p>
    <w:p>
      <w:pPr>
        <w:pStyle w:val="ListParagraph"/>
        <w:numPr>
          <w:ilvl w:val="0"/>
          <w:numId w:val="2"/>
        </w:numPr>
        <w:bidi/>
        <w:spacing w:after="120" w:line="300"/>
        <w:jc w:val="right"/>
      </w:pPr>
      <w:r>
        <w:rPr>
          <w:rFonts w:ascii="Arial" w:cs="Arial" w:eastAsia="Arial" w:hAnsi="Arial"/>
          <w:sz w:val="22"/>
          <w:szCs w:val="22"/>
        </w:rPr>
        <w:t xml:space="preserve">تصعيد القضية للتقاضي أمام المحكمة الإدارية في حال عدم الاستجابة للتظلم.</w:t>
      </w:r>
    </w:p>
    <w:p>
      <w:pPr>
        <w:bidi/>
        <w:spacing w:after="200" w:line="300"/>
        <w:jc w:val="right"/>
      </w:pPr>
      <w:r>
        <w:rPr>
          <w:rFonts w:ascii="Arial" w:cs="Arial" w:eastAsia="Arial" w:hAnsi="Arial"/>
          <w:b w:val="false"/>
          <w:bCs w:val="false"/>
          <w:sz w:val="22"/>
          <w:szCs w:val="22"/>
        </w:rPr>
        <w:t xml:space="preserve">نحرص في هذه الخدمة على استنفاد جميع الوسائل النظامية لحماية حقوق عملائنا قبل اللجوء إلى القضاء.</w:t>
      </w:r>
    </w:p>
    <w:p>
      <w:pPr>
        <w:pStyle w:val="Heading1"/>
        <w:bidi/>
        <w:spacing w:after="200" w:before="400"/>
        <w:jc w:val="right"/>
      </w:pPr>
      <w:r>
        <w:rPr>
          <w:rFonts w:ascii="Arial" w:cs="Arial" w:eastAsia="Arial" w:hAnsi="Arial"/>
          <w:b/>
          <w:bCs/>
          <w:color w:val="1F3864"/>
          <w:sz w:val="32"/>
          <w:szCs w:val="32"/>
        </w:rPr>
        <w:t xml:space="preserve">4. متابعة المعاملات الحكومية والتراخيص</w:t>
      </w:r>
    </w:p>
    <w:p>
      <w:pPr>
        <w:bidi/>
        <w:spacing w:after="200" w:line="300"/>
        <w:jc w:val="right"/>
      </w:pPr>
      <w:r>
        <w:rPr>
          <w:rFonts w:ascii="Arial" w:cs="Arial" w:eastAsia="Arial" w:hAnsi="Arial"/>
          <w:b w:val="false"/>
          <w:bCs w:val="false"/>
          <w:sz w:val="22"/>
          <w:szCs w:val="22"/>
        </w:rPr>
        <w:t xml:space="preserve">تشمل خدماتنا أيضًا مساندة الأفراد والمنشآت في تعاملاتهم اليومية مع الجهات الحكومية، ومنها:</w:t>
      </w:r>
    </w:p>
    <w:p>
      <w:pPr>
        <w:pStyle w:val="ListParagraph"/>
        <w:numPr>
          <w:ilvl w:val="0"/>
          <w:numId w:val="2"/>
        </w:numPr>
        <w:bidi/>
        <w:spacing w:after="120" w:line="300"/>
        <w:jc w:val="right"/>
      </w:pPr>
      <w:r>
        <w:rPr>
          <w:rFonts w:ascii="Arial" w:cs="Arial" w:eastAsia="Arial" w:hAnsi="Arial"/>
          <w:sz w:val="22"/>
          <w:szCs w:val="22"/>
        </w:rPr>
        <w:t xml:space="preserve">متابعة إجراءات استخراج أو تجديد التراخيص والتصاريح.</w:t>
      </w:r>
    </w:p>
    <w:p>
      <w:pPr>
        <w:pStyle w:val="ListParagraph"/>
        <w:numPr>
          <w:ilvl w:val="0"/>
          <w:numId w:val="2"/>
        </w:numPr>
        <w:bidi/>
        <w:spacing w:after="120" w:line="300"/>
        <w:jc w:val="right"/>
      </w:pPr>
      <w:r>
        <w:rPr>
          <w:rFonts w:ascii="Arial" w:cs="Arial" w:eastAsia="Arial" w:hAnsi="Arial"/>
          <w:sz w:val="22"/>
          <w:szCs w:val="22"/>
        </w:rPr>
        <w:t xml:space="preserve">التواصل مع الجهات الحكومية المختصة لحل أي عوائق إدارية.</w:t>
      </w:r>
    </w:p>
    <w:p>
      <w:pPr>
        <w:pStyle w:val="ListParagraph"/>
        <w:numPr>
          <w:ilvl w:val="0"/>
          <w:numId w:val="2"/>
        </w:numPr>
        <w:bidi/>
        <w:spacing w:after="120" w:line="300"/>
        <w:jc w:val="right"/>
      </w:pPr>
      <w:r>
        <w:rPr>
          <w:rFonts w:ascii="Arial" w:cs="Arial" w:eastAsia="Arial" w:hAnsi="Arial"/>
          <w:sz w:val="22"/>
          <w:szCs w:val="22"/>
        </w:rPr>
        <w:t xml:space="preserve">تقديم الدعم القانوني في حال تعثر أي معاملة حكومية.</w:t>
      </w:r>
    </w:p>
    <w:p>
      <w:pPr>
        <w:bidi/>
        <w:spacing w:after="200" w:line="300"/>
        <w:jc w:val="right"/>
      </w:pPr>
      <w:r>
        <w:rPr>
          <w:rFonts w:ascii="Arial" w:cs="Arial" w:eastAsia="Arial" w:hAnsi="Arial"/>
          <w:b w:val="false"/>
          <w:bCs w:val="false"/>
          <w:sz w:val="22"/>
          <w:szCs w:val="22"/>
        </w:rPr>
        <w:t xml:space="preserve">هذه المتابعة الدقيقة توفر على عملائنا الوقت والجهد، وتضمن سير معاملاتهم دون تعقيدات غير ضرورية.</w:t>
      </w:r>
    </w:p>
    <w:p>
      <w:pPr>
        <w:pStyle w:val="Heading1"/>
        <w:bidi/>
        <w:spacing w:after="200" w:before="400"/>
        <w:jc w:val="right"/>
      </w:pPr>
      <w:r>
        <w:rPr>
          <w:rFonts w:ascii="Arial" w:cs="Arial" w:eastAsia="Arial" w:hAnsi="Arial"/>
          <w:b/>
          <w:bCs/>
          <w:color w:val="1F3864"/>
          <w:sz w:val="32"/>
          <w:szCs w:val="32"/>
        </w:rPr>
        <w:t xml:space="preserve">لماذا شركة البينات؟</w:t>
      </w:r>
    </w:p>
    <w:p>
      <w:pPr>
        <w:bidi/>
        <w:spacing w:after="200" w:line="300"/>
        <w:jc w:val="right"/>
      </w:pPr>
      <w:r>
        <w:rPr>
          <w:rFonts w:ascii="Arial" w:cs="Arial" w:eastAsia="Arial" w:hAnsi="Arial"/>
          <w:b w:val="false"/>
          <w:bCs w:val="false"/>
          <w:sz w:val="22"/>
          <w:szCs w:val="22"/>
        </w:rPr>
        <w:t xml:space="preserve">ما يميز شركة البينات هو الجمع بين الخبرة القانونية المتخصصة في الأنظمة واللوائح الإدارية، والفهم العملي لآليات التعامل مع الجهات الحكومية. فريقنا يتعامل مع كل قضية باهتمام فردي، ويقدم حلولاً عملية تحفظ حقوق عملائنا وتختصر عليهم الطريق.</w:t>
      </w:r>
    </w:p>
    <w:p>
      <w:pPr>
        <w:bidi/>
        <w:spacing w:after="200" w:line="300"/>
        <w:jc w:val="right"/>
      </w:pPr>
      <w:r>
        <w:rPr>
          <w:rFonts w:ascii="Arial" w:cs="Arial" w:eastAsia="Arial" w:hAnsi="Arial"/>
          <w:b w:val="false"/>
          <w:bCs w:val="false"/>
          <w:sz w:val="22"/>
          <w:szCs w:val="22"/>
        </w:rPr>
        <w:t xml:space="preserve">سواء كنت فردًا تواجه قرارًا إداريًا غير عادل، أو منشأة تحتاج إلى استشارة قبل اتخاذ إجراء، أو طرفًا يحتاج إلى متابعة معاملة حكومية، فإن شركة البينات جاهزة لتكون شريككم الموثوق في كل خطوة.</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right"/>
      <w:pPr>
        <w:ind w:righ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2026-07-28T10:40:04.065Z</dcterms:created>
  <dcterms:modified xsi:type="dcterms:W3CDTF">2026-07-28T10:40:04.081Z</dcterms:modified>
</cp:coreProperties>
</file>

<file path=docProps/custom.xml><?xml version="1.0" encoding="utf-8"?>
<Properties xmlns="http://schemas.openxmlformats.org/officeDocument/2006/custom-properties" xmlns:vt="http://schemas.openxmlformats.org/officeDocument/2006/docPropsVTypes"/>
</file>